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11"/>
      <w:r>
        <w:rPr>
          <w:rFonts w:cs="Arial"/>
          <w:b/>
          <w:bCs/>
          <w:sz w:val="24"/>
          <w:szCs w:val="24"/>
        </w:rPr>
        <w:t>3GPP TSG-RAN WG3 Meeting #11</w:t>
      </w:r>
      <w:r>
        <w:rPr>
          <w:rFonts w:hint="eastAsia" w:eastAsia="宋体" w:cs="Arial"/>
          <w:b/>
          <w:bCs/>
          <w:sz w:val="24"/>
          <w:szCs w:val="24"/>
          <w:lang w:val="en-US" w:eastAsia="zh-CN"/>
        </w:rPr>
        <w:t>1</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w:t>
      </w:r>
      <w:r>
        <w:rPr>
          <w:rFonts w:hint="eastAsia" w:cs="Arial"/>
          <w:b/>
          <w:bCs/>
          <w:sz w:val="24"/>
          <w:szCs w:val="24"/>
          <w:lang w:val="en-US" w:eastAsia="zh-CN"/>
        </w:rPr>
        <w:t>0802</w:t>
      </w:r>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25 Jan - 4</w:t>
      </w:r>
      <w:r>
        <w:rPr>
          <w:rFonts w:cs="Arial"/>
          <w:b/>
          <w:bCs/>
          <w:sz w:val="24"/>
          <w:szCs w:val="24"/>
        </w:rPr>
        <w:t xml:space="preserve"> </w:t>
      </w:r>
      <w:r>
        <w:rPr>
          <w:rFonts w:hint="eastAsia" w:eastAsia="宋体" w:cs="Arial"/>
          <w:b/>
          <w:bCs/>
          <w:sz w:val="24"/>
          <w:szCs w:val="24"/>
          <w:lang w:val="en-US" w:eastAsia="zh-CN"/>
        </w:rPr>
        <w:t>Feb</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40"/>
        <w:rPr>
          <w:rFonts w:hint="eastAsia" w:eastAsia="宋体"/>
          <w:b/>
          <w:sz w:val="24"/>
          <w:szCs w:val="24"/>
          <w:lang w:val="en-US" w:eastAsia="zh-CN"/>
        </w:rPr>
      </w:pP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In the two previous RAN3 meetings, the inter-system load balancing in NR has been discussed and some agreements were reached.</w:t>
      </w:r>
    </w:p>
    <w:p>
      <w:pPr>
        <w:widowControl w:val="0"/>
        <w:spacing w:after="0"/>
        <w:rPr>
          <w:rFonts w:ascii="Calibri" w:hAnsi="Calibri" w:cs="Calibri"/>
          <w:b/>
          <w:bCs/>
          <w:color w:val="00B050"/>
          <w:sz w:val="18"/>
          <w:szCs w:val="24"/>
        </w:rPr>
      </w:pPr>
      <w:r>
        <w:rPr>
          <w:rFonts w:ascii="Calibri" w:hAnsi="Calibri" w:cs="Calibri"/>
          <w:b/>
          <w:bCs/>
          <w:color w:val="00B050"/>
          <w:sz w:val="18"/>
          <w:szCs w:val="24"/>
        </w:rPr>
        <w:t>Introduce Inter System Load Balancing mechanisms on the basis of the solution available in E-UTRAN</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pPr>
        <w:widowControl w:val="0"/>
        <w:spacing w:after="0"/>
        <w:rPr>
          <w:rFonts w:ascii="Calibri" w:hAnsi="Calibri" w:cs="Calibri"/>
          <w:b/>
          <w:bCs/>
          <w:color w:val="00B050"/>
          <w:sz w:val="18"/>
          <w:szCs w:val="24"/>
        </w:rPr>
      </w:pPr>
      <w:r>
        <w:rPr>
          <w:rFonts w:ascii="Calibri" w:hAnsi="Calibri" w:cs="Calibri"/>
          <w:b/>
          <w:bCs/>
          <w:color w:val="00B050"/>
          <w:sz w:val="18"/>
          <w:szCs w:val="24"/>
        </w:rPr>
        <w:t>Use S1: eNB CONFIGURATION TRANSFER, S1: MME CONFIGURATION TRANSFER, NG: UL RAN CONFIGURATION TRANSFER and  NG: DL RAN CONFIGURATION TRANSFER for the transfer of inter system load balancing via means of mechanisms that resemble or reuse the SON Configuration Transfer IEs. It is FFS whether further details on the signaling part need to be introduced</w:t>
      </w:r>
    </w:p>
    <w:p>
      <w:pPr>
        <w:widowControl w:val="0"/>
        <w:spacing w:after="0"/>
        <w:rPr>
          <w:rFonts w:ascii="Calibri" w:hAnsi="Calibri" w:cs="Calibri"/>
          <w:b/>
          <w:bCs/>
          <w:color w:val="00B050"/>
          <w:sz w:val="18"/>
          <w:szCs w:val="24"/>
        </w:rPr>
      </w:pPr>
      <w:r>
        <w:rPr>
          <w:rFonts w:ascii="Calibri" w:hAnsi="Calibri" w:cs="Calibri"/>
          <w:b/>
          <w:bCs/>
          <w:color w:val="00B050"/>
          <w:sz w:val="18"/>
          <w:szCs w:val="24"/>
        </w:rPr>
        <w:t>Adopt signaling of the Composite Available Capacity (Cell Capacity Class value and Capacity Value) for inter system MLB</w:t>
      </w:r>
    </w:p>
    <w:p>
      <w:pPr>
        <w:widowControl w:val="0"/>
        <w:spacing w:after="0"/>
        <w:rPr>
          <w:rFonts w:ascii="Calibri" w:hAnsi="Calibri" w:cs="Calibri"/>
          <w:b/>
          <w:bCs/>
          <w:color w:val="00B050"/>
          <w:sz w:val="18"/>
          <w:szCs w:val="24"/>
        </w:rPr>
      </w:pPr>
      <w:r>
        <w:rPr>
          <w:rFonts w:ascii="Calibri" w:hAnsi="Calibri" w:cs="Calibri"/>
          <w:b/>
          <w:bCs/>
          <w:color w:val="00B050"/>
          <w:sz w:val="18"/>
          <w:szCs w:val="24"/>
        </w:rPr>
        <w:t>Adoption of further MLB metrics is FFS</w:t>
      </w:r>
    </w:p>
    <w:p>
      <w:pPr>
        <w:widowControl w:val="0"/>
        <w:spacing w:after="0"/>
        <w:rPr>
          <w:rFonts w:ascii="Calibri" w:hAnsi="Calibri" w:cs="Calibri"/>
          <w:b/>
          <w:bCs/>
          <w:color w:val="00B050"/>
          <w:sz w:val="18"/>
          <w:szCs w:val="24"/>
        </w:rPr>
      </w:pPr>
      <w:r>
        <w:rPr>
          <w:rFonts w:ascii="Calibri" w:hAnsi="Calibri" w:cs="Calibri"/>
          <w:b/>
          <w:bCs/>
          <w:color w:val="00B050"/>
          <w:sz w:val="18"/>
          <w:szCs w:val="24"/>
        </w:rPr>
        <w:t>Event Based Reporting and Periodic Reporting (only in case specific conditions are met), are agreed to be supported for inter system MLB. The mechanism should avoid excessive signaling</w:t>
      </w:r>
    </w:p>
    <w:p>
      <w:pPr>
        <w:widowControl w:val="0"/>
        <w:spacing w:after="0"/>
        <w:rPr>
          <w:rFonts w:ascii="Calibri" w:hAnsi="Calibri" w:cs="Calibri"/>
          <w:b/>
          <w:bCs/>
          <w:color w:val="00B050"/>
          <w:sz w:val="18"/>
          <w:szCs w:val="24"/>
        </w:rPr>
      </w:pPr>
      <w:r>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pPr>
        <w:widowControl w:val="0"/>
        <w:spacing w:after="0"/>
        <w:rPr>
          <w:rFonts w:ascii="Calibri" w:hAnsi="Calibri" w:cs="Calibri"/>
          <w:b/>
          <w:bCs/>
          <w:color w:val="00B050"/>
          <w:sz w:val="18"/>
          <w:szCs w:val="24"/>
        </w:rPr>
      </w:pPr>
      <w:r>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pPr>
        <w:widowControl w:val="0"/>
        <w:spacing w:after="0"/>
        <w:rPr>
          <w:rFonts w:ascii="Calibri" w:hAnsi="Calibri" w:cs="Calibri"/>
          <w:b/>
          <w:bCs/>
          <w:color w:val="00B050"/>
          <w:sz w:val="18"/>
          <w:szCs w:val="24"/>
        </w:rPr>
      </w:pPr>
      <w:r>
        <w:rPr>
          <w:rFonts w:ascii="Calibri" w:hAnsi="Calibri" w:cs="Calibri"/>
          <w:b/>
          <w:bCs/>
          <w:color w:val="00B050"/>
          <w:sz w:val="18"/>
          <w:szCs w:val="24"/>
        </w:rPr>
        <w:t>Support periodic inter system load reporting with periodicity not lower than 1000ms and threshold-based load reporting, subject to confirmation from CT</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We do not support per slice load information for inter system load balancing in the current release </w:t>
      </w:r>
    </w:p>
    <w:p>
      <w:pPr>
        <w:widowControl w:val="0"/>
        <w:spacing w:after="0"/>
        <w:rPr>
          <w:rFonts w:ascii="Calibri" w:hAnsi="Calibri" w:cs="Calibri"/>
          <w:b/>
          <w:bCs/>
          <w:color w:val="00B050"/>
          <w:sz w:val="18"/>
          <w:szCs w:val="24"/>
          <w:highlight w:val="none"/>
        </w:rPr>
      </w:pPr>
      <w:r>
        <w:rPr>
          <w:rFonts w:ascii="Calibri" w:hAnsi="Calibri" w:cs="Calibri"/>
          <w:b/>
          <w:bCs/>
          <w:color w:val="00B050"/>
          <w:sz w:val="18"/>
          <w:szCs w:val="24"/>
        </w:rPr>
        <w:t>Support an explicitl</w:t>
      </w:r>
      <w:r>
        <w:rPr>
          <w:rFonts w:ascii="Calibri" w:hAnsi="Calibri" w:cs="Calibri"/>
          <w:b/>
          <w:bCs/>
          <w:color w:val="00B050"/>
          <w:sz w:val="18"/>
          <w:szCs w:val="24"/>
          <w:highlight w:val="none"/>
        </w:rPr>
        <w:t>y signaled threshold configuration for inter system load information reporting; details are FFS</w:t>
      </w:r>
    </w:p>
    <w:p>
      <w:pPr>
        <w:widowControl w:val="0"/>
        <w:spacing w:after="0"/>
        <w:rPr>
          <w:rFonts w:ascii="Calibri" w:hAnsi="Calibri" w:cs="Calibri"/>
          <w:b/>
          <w:bCs/>
          <w:color w:val="00B050"/>
          <w:sz w:val="18"/>
          <w:szCs w:val="24"/>
          <w:highlight w:val="none"/>
        </w:rPr>
      </w:pPr>
      <w:r>
        <w:rPr>
          <w:rFonts w:ascii="Calibri" w:hAnsi="Calibri" w:cs="Calibri"/>
          <w:b/>
          <w:bCs/>
          <w:color w:val="00B050"/>
          <w:sz w:val="18"/>
          <w:szCs w:val="24"/>
          <w:highlight w:val="none"/>
        </w:rPr>
        <w:t>Agree to CAC encoding as defined in LTE, e.g. in TS36.413, as a starting point. Whether CAC is encoded according to the sender’s rules is FFS</w:t>
      </w:r>
    </w:p>
    <w:p>
      <w:pPr>
        <w:widowControl w:val="0"/>
        <w:spacing w:after="0"/>
        <w:rPr>
          <w:rFonts w:ascii="Calibri" w:hAnsi="Calibri" w:cs="Calibri"/>
          <w:b/>
          <w:bCs/>
          <w:color w:val="00B050"/>
          <w:sz w:val="18"/>
          <w:szCs w:val="24"/>
          <w:highlight w:val="none"/>
        </w:rPr>
      </w:pPr>
      <w:r>
        <w:rPr>
          <w:rFonts w:ascii="Calibri" w:hAnsi="Calibri" w:cs="Calibri"/>
          <w:b/>
          <w:bCs/>
          <w:color w:val="00B050"/>
          <w:sz w:val="18"/>
          <w:szCs w:val="24"/>
          <w:highlight w:val="none"/>
        </w:rPr>
        <w:t>Whether to support the Number of active UEs for inter system load balancing is FFS</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It is FFS whether to support signaling of PRB utilization for inter system load balancing in the current release;</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It is FFS whether to support signaling of the Number of RRC connections for inter system load balancing in the current release;</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It is FFS whether to support signaling of the TNL Available Capacity for inter system load balancing in the current release;</w:t>
      </w:r>
    </w:p>
    <w:p>
      <w:pPr>
        <w:widowControl w:val="0"/>
        <w:spacing w:after="0"/>
        <w:rPr>
          <w:rFonts w:ascii="Calibri" w:hAnsi="Calibri" w:cs="Calibri"/>
          <w:b/>
          <w:bCs/>
          <w:i/>
          <w:iCs/>
          <w:color w:val="FF0000"/>
          <w:sz w:val="18"/>
          <w:szCs w:val="24"/>
          <w:highlight w:val="none"/>
        </w:rPr>
      </w:pPr>
      <w:r>
        <w:rPr>
          <w:rFonts w:ascii="Calibri" w:hAnsi="Calibri" w:cs="Calibri"/>
          <w:b/>
          <w:bCs/>
          <w:i/>
          <w:iCs/>
          <w:color w:val="FF0000"/>
          <w:sz w:val="18"/>
          <w:szCs w:val="24"/>
          <w:highlight w:val="none"/>
        </w:rPr>
        <w:t>To be continued...</w:t>
      </w:r>
    </w:p>
    <w:p>
      <w:pPr>
        <w:widowControl w:val="0"/>
        <w:spacing w:after="0"/>
        <w:rPr>
          <w:rFonts w:hint="eastAsia" w:ascii="Calibri" w:hAnsi="Calibri" w:cs="Calibri"/>
          <w:b/>
          <w:bCs/>
          <w:color w:val="00B050"/>
          <w:sz w:val="18"/>
          <w:szCs w:val="24"/>
          <w:lang w:val="en-US" w:eastAsia="zh-CN"/>
        </w:rPr>
      </w:pPr>
    </w:p>
    <w:p>
      <w:pPr>
        <w:jc w:val="both"/>
        <w:rPr>
          <w:rFonts w:hint="default"/>
          <w:lang w:val="en-US" w:eastAsia="zh-CN"/>
        </w:rPr>
      </w:pPr>
      <w:r>
        <w:rPr>
          <w:rFonts w:hint="eastAsia"/>
          <w:lang w:val="en-US" w:eastAsia="zh-CN"/>
        </w:rPr>
        <w:t>In this contribution, we will further discuss the remaining open issues.</w:t>
      </w:r>
    </w:p>
    <w:p>
      <w:pPr>
        <w:pStyle w:val="2"/>
      </w:pPr>
      <w:r>
        <w:rPr>
          <w:rFonts w:hint="eastAsia"/>
          <w:lang w:val="en-US" w:eastAsia="zh-CN"/>
        </w:rPr>
        <w:t>Discussion</w:t>
      </w:r>
    </w:p>
    <w:p>
      <w:pPr>
        <w:rPr>
          <w:rFonts w:hint="eastAsia"/>
          <w:sz w:val="20"/>
          <w:szCs w:val="20"/>
          <w:lang w:val="en-US" w:eastAsia="zh-CN"/>
        </w:rPr>
      </w:pPr>
      <w:bookmarkStart w:id="3" w:name="OLE_LINK5"/>
      <w:bookmarkStart w:id="4" w:name="OLE_LINK3"/>
      <w:bookmarkStart w:id="5" w:name="OLE_LINK4"/>
      <w:bookmarkStart w:id="6" w:name="OLE_LINK6"/>
      <w:r>
        <w:rPr>
          <w:rFonts w:hint="eastAsia"/>
          <w:sz w:val="20"/>
          <w:szCs w:val="20"/>
          <w:lang w:val="en-US" w:eastAsia="zh-CN"/>
        </w:rPr>
        <w:t xml:space="preserve">In last meeting, it was agreed that the </w:t>
      </w:r>
      <w:r>
        <w:rPr>
          <w:rFonts w:hint="eastAsia"/>
          <w:i/>
          <w:iCs/>
          <w:sz w:val="20"/>
          <w:szCs w:val="20"/>
          <w:lang w:val="en-US" w:eastAsia="zh-CN"/>
        </w:rPr>
        <w:t>Inter-system SON Information</w:t>
      </w:r>
      <w:r>
        <w:rPr>
          <w:rFonts w:hint="eastAsia"/>
          <w:sz w:val="20"/>
          <w:szCs w:val="20"/>
          <w:lang w:val="en-US" w:eastAsia="zh-CN"/>
        </w:rPr>
        <w:t xml:space="preserve"> IE in UL or DL RAN Configuration Transfer message over NG should be reused. And the principle of using this IE should follow the agreed structure in SON BL CR to TS 38.413[1], i.e. the </w:t>
      </w:r>
      <w:r>
        <w:rPr>
          <w:rFonts w:hint="eastAsia"/>
          <w:i/>
          <w:iCs/>
          <w:sz w:val="20"/>
          <w:szCs w:val="20"/>
          <w:lang w:val="en-US" w:eastAsia="zh-CN"/>
        </w:rPr>
        <w:t>Inter-System Resource Status Request</w:t>
      </w:r>
      <w:r>
        <w:rPr>
          <w:rFonts w:hint="eastAsia"/>
          <w:sz w:val="20"/>
          <w:szCs w:val="20"/>
          <w:lang w:val="en-US" w:eastAsia="zh-CN"/>
        </w:rPr>
        <w:t xml:space="preserve"> IE should be included in the </w:t>
      </w:r>
      <w:r>
        <w:rPr>
          <w:rFonts w:hint="eastAsia"/>
          <w:i/>
          <w:iCs/>
          <w:sz w:val="20"/>
          <w:szCs w:val="20"/>
          <w:lang w:val="en-US" w:eastAsia="zh-CN"/>
        </w:rPr>
        <w:t>Inter-system SON Information Request</w:t>
      </w:r>
      <w:r>
        <w:rPr>
          <w:rFonts w:hint="eastAsia"/>
          <w:sz w:val="20"/>
          <w:szCs w:val="20"/>
          <w:lang w:val="en-US" w:eastAsia="zh-CN"/>
        </w:rPr>
        <w:t xml:space="preserve"> IE within the </w:t>
      </w:r>
      <w:r>
        <w:rPr>
          <w:rFonts w:hint="eastAsia"/>
          <w:i/>
          <w:iCs/>
          <w:sz w:val="20"/>
          <w:szCs w:val="20"/>
          <w:lang w:val="en-US" w:eastAsia="zh-CN"/>
        </w:rPr>
        <w:t>Inter-system SON Information</w:t>
      </w:r>
      <w:r>
        <w:rPr>
          <w:rFonts w:hint="eastAsia"/>
          <w:sz w:val="20"/>
          <w:szCs w:val="20"/>
          <w:lang w:val="en-US" w:eastAsia="zh-CN"/>
        </w:rPr>
        <w:t xml:space="preserve"> IE and the </w:t>
      </w:r>
      <w:r>
        <w:rPr>
          <w:rFonts w:hint="eastAsia"/>
          <w:i/>
          <w:iCs/>
          <w:sz w:val="20"/>
          <w:szCs w:val="20"/>
          <w:lang w:val="en-US" w:eastAsia="zh-CN"/>
        </w:rPr>
        <w:t>Inter-System Resource Status Reply</w:t>
      </w:r>
      <w:r>
        <w:rPr>
          <w:rFonts w:hint="eastAsia"/>
          <w:sz w:val="20"/>
          <w:szCs w:val="20"/>
          <w:lang w:val="en-US" w:eastAsia="zh-CN"/>
        </w:rPr>
        <w:t xml:space="preserve"> IE should be included in the </w:t>
      </w:r>
      <w:r>
        <w:rPr>
          <w:rFonts w:hint="eastAsia"/>
          <w:i/>
          <w:iCs/>
          <w:sz w:val="20"/>
          <w:szCs w:val="20"/>
          <w:lang w:val="en-US" w:eastAsia="zh-CN"/>
        </w:rPr>
        <w:t>Inter-system SON Information Reply</w:t>
      </w:r>
      <w:r>
        <w:rPr>
          <w:rFonts w:hint="eastAsia"/>
          <w:sz w:val="20"/>
          <w:szCs w:val="20"/>
          <w:lang w:val="en-US" w:eastAsia="zh-CN"/>
        </w:rPr>
        <w:t xml:space="preserve"> IE within the </w:t>
      </w:r>
      <w:r>
        <w:rPr>
          <w:rFonts w:hint="eastAsia"/>
          <w:i/>
          <w:iCs/>
          <w:sz w:val="20"/>
          <w:szCs w:val="20"/>
          <w:lang w:val="en-US" w:eastAsia="zh-CN"/>
        </w:rPr>
        <w:t>Inter-system SON Information</w:t>
      </w:r>
      <w:r>
        <w:rPr>
          <w:rFonts w:hint="eastAsia"/>
          <w:sz w:val="20"/>
          <w:szCs w:val="20"/>
          <w:lang w:val="en-US" w:eastAsia="zh-CN"/>
        </w:rPr>
        <w:t xml:space="preserve"> IE. In addition, the </w:t>
      </w:r>
      <w:r>
        <w:rPr>
          <w:rFonts w:hint="eastAsia"/>
          <w:i/>
          <w:iCs/>
          <w:sz w:val="20"/>
          <w:szCs w:val="20"/>
          <w:lang w:val="en-US" w:eastAsia="zh-CN"/>
        </w:rPr>
        <w:t>Inter-system Resource Status Update</w:t>
      </w:r>
      <w:r>
        <w:rPr>
          <w:rFonts w:hint="eastAsia"/>
          <w:sz w:val="20"/>
          <w:szCs w:val="20"/>
          <w:lang w:val="en-US" w:eastAsia="zh-CN"/>
        </w:rPr>
        <w:t xml:space="preserve"> IE should be included in the </w:t>
      </w:r>
      <w:r>
        <w:rPr>
          <w:rFonts w:hint="eastAsia"/>
          <w:i/>
          <w:iCs/>
          <w:sz w:val="20"/>
          <w:szCs w:val="20"/>
          <w:lang w:val="en-US" w:eastAsia="zh-CN"/>
        </w:rPr>
        <w:t>Inter-system SON Information Report</w:t>
      </w:r>
      <w:r>
        <w:rPr>
          <w:rFonts w:hint="eastAsia"/>
          <w:sz w:val="20"/>
          <w:szCs w:val="20"/>
          <w:lang w:val="en-US" w:eastAsia="zh-CN"/>
        </w:rPr>
        <w:t xml:space="preserve"> IE within the </w:t>
      </w:r>
      <w:r>
        <w:rPr>
          <w:rFonts w:hint="eastAsia"/>
          <w:i/>
          <w:iCs/>
          <w:sz w:val="20"/>
          <w:szCs w:val="20"/>
          <w:lang w:val="en-US" w:eastAsia="zh-CN"/>
        </w:rPr>
        <w:t>Inter-system SON Information</w:t>
      </w:r>
      <w:r>
        <w:rPr>
          <w:rFonts w:hint="eastAsia"/>
          <w:sz w:val="20"/>
          <w:szCs w:val="20"/>
          <w:lang w:val="en-US" w:eastAsia="zh-CN"/>
        </w:rPr>
        <w:t xml:space="preserve"> IE. And the detailed IE structure is shown in [2].</w:t>
      </w:r>
    </w:p>
    <w:p>
      <w:pPr>
        <w:rPr>
          <w:rFonts w:hint="default"/>
          <w:sz w:val="20"/>
          <w:szCs w:val="20"/>
          <w:lang w:val="en-US" w:eastAsia="zh-CN"/>
        </w:rPr>
      </w:pPr>
      <w:r>
        <w:rPr>
          <w:rFonts w:hint="eastAsia"/>
          <w:sz w:val="20"/>
          <w:szCs w:val="20"/>
          <w:lang w:val="en-US" w:eastAsia="zh-CN"/>
        </w:rPr>
        <w:t>As described in TS 36.413, the</w:t>
      </w:r>
      <w:r>
        <w:rPr>
          <w:rFonts w:hint="eastAsia"/>
          <w:i/>
          <w:iCs/>
          <w:sz w:val="20"/>
          <w:szCs w:val="20"/>
          <w:lang w:val="en-US" w:eastAsia="zh-CN"/>
        </w:rPr>
        <w:t xml:space="preserve"> Inter-system SON Configuration Transfer</w:t>
      </w:r>
      <w:r>
        <w:rPr>
          <w:rFonts w:hint="eastAsia"/>
          <w:sz w:val="20"/>
          <w:szCs w:val="20"/>
          <w:lang w:val="en-US" w:eastAsia="zh-CN"/>
        </w:rPr>
        <w:t xml:space="preserve"> IE follows the definition of the same IE in TS 38.413. It seems that the inter-system load balancing for 36.413 is not needed to specify.</w:t>
      </w:r>
    </w:p>
    <w:p>
      <w:pPr>
        <w:rPr>
          <w:rFonts w:hint="default"/>
          <w:sz w:val="20"/>
          <w:szCs w:val="20"/>
          <w:lang w:val="en-US" w:eastAsia="zh-CN"/>
        </w:rPr>
      </w:pPr>
      <w:bookmarkStart w:id="7" w:name="OLE_LINK2"/>
      <w:r>
        <w:rPr>
          <w:rFonts w:hint="eastAsia"/>
          <w:sz w:val="20"/>
          <w:szCs w:val="20"/>
          <w:lang w:val="en-US" w:eastAsia="zh-CN"/>
        </w:rPr>
        <w:t>-----------------------------------------------------------TS 36.413-------------------------------------------------------------------------</w:t>
      </w:r>
    </w:p>
    <w:bookmarkEnd w:id="7"/>
    <w:p>
      <w:pPr>
        <w:pStyle w:val="5"/>
        <w:rPr>
          <w:rFonts w:cs="Times New Roman"/>
        </w:rPr>
      </w:pPr>
      <w:bookmarkStart w:id="8" w:name="_Toc29390869"/>
      <w:bookmarkStart w:id="9" w:name="_Toc45831825"/>
      <w:bookmarkStart w:id="10" w:name="_Toc51762778"/>
      <w:bookmarkStart w:id="11" w:name="_Toc36551606"/>
      <w:bookmarkStart w:id="12" w:name="_Toc20953692"/>
      <w:r>
        <w:rPr>
          <w:rFonts w:cs="Times New Roman"/>
        </w:rPr>
        <w:t>9.1.16</w:t>
      </w:r>
      <w:r>
        <w:rPr>
          <w:rFonts w:cs="Times New Roman"/>
        </w:rPr>
        <w:tab/>
      </w:r>
      <w:r>
        <w:rPr>
          <w:rFonts w:hint="eastAsia" w:cs="Times New Roman"/>
          <w:lang w:val="en-US" w:eastAsia="zh-CN"/>
        </w:rPr>
        <w:t xml:space="preserve"> </w:t>
      </w:r>
      <w:r>
        <w:rPr>
          <w:rFonts w:cs="Times New Roman"/>
        </w:rPr>
        <w:t>eNB CONFIGURATION TRANSFER</w:t>
      </w:r>
      <w:bookmarkEnd w:id="8"/>
      <w:bookmarkEnd w:id="9"/>
      <w:bookmarkEnd w:id="10"/>
      <w:bookmarkEnd w:id="11"/>
      <w:bookmarkEnd w:id="12"/>
    </w:p>
    <w:p>
      <w:r>
        <w:t>This message is sent by the eNB in order to transfer RAN configuration information.</w:t>
      </w:r>
    </w:p>
    <w:p>
      <w:r>
        <w:t xml:space="preserve">Direction: eNB </w:t>
      </w:r>
      <w:r>
        <w:rPr/>
        <w:sym w:font="Symbol" w:char="F0AE"/>
      </w:r>
      <w:r>
        <w:t xml:space="preserve"> MME.</w:t>
      </w:r>
    </w:p>
    <w:tbl>
      <w:tblPr>
        <w:tblStyle w:val="51"/>
        <w:tblW w:w="1038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1148"/>
        <w:gridCol w:w="1694"/>
        <w:gridCol w:w="1273"/>
        <w:gridCol w:w="1218"/>
        <w:gridCol w:w="1288"/>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77"/>
              <w:rPr>
                <w:rFonts w:cs="Arial"/>
                <w:lang w:eastAsia="ja-JP"/>
              </w:rPr>
            </w:pPr>
            <w:r>
              <w:rPr>
                <w:rFonts w:cs="Arial"/>
                <w:lang w:eastAsia="ja-JP"/>
              </w:rPr>
              <w:t>IE/Group Name</w:t>
            </w:r>
          </w:p>
        </w:tc>
        <w:tc>
          <w:tcPr>
            <w:tcW w:w="1148" w:type="dxa"/>
            <w:noWrap w:val="0"/>
            <w:vAlign w:val="top"/>
          </w:tcPr>
          <w:p>
            <w:pPr>
              <w:pStyle w:val="77"/>
              <w:rPr>
                <w:rFonts w:cs="Arial"/>
                <w:lang w:eastAsia="ja-JP"/>
              </w:rPr>
            </w:pPr>
            <w:r>
              <w:rPr>
                <w:rFonts w:cs="Arial"/>
                <w:lang w:eastAsia="ja-JP"/>
              </w:rPr>
              <w:t>Presence</w:t>
            </w:r>
          </w:p>
        </w:tc>
        <w:tc>
          <w:tcPr>
            <w:tcW w:w="1694" w:type="dxa"/>
            <w:noWrap w:val="0"/>
            <w:vAlign w:val="top"/>
          </w:tcPr>
          <w:p>
            <w:pPr>
              <w:pStyle w:val="77"/>
              <w:rPr>
                <w:rFonts w:cs="Arial"/>
                <w:lang w:eastAsia="ja-JP"/>
              </w:rPr>
            </w:pPr>
            <w:r>
              <w:rPr>
                <w:rFonts w:cs="Arial"/>
                <w:lang w:eastAsia="ja-JP"/>
              </w:rPr>
              <w:t>Range</w:t>
            </w:r>
          </w:p>
        </w:tc>
        <w:tc>
          <w:tcPr>
            <w:tcW w:w="1273" w:type="dxa"/>
            <w:noWrap w:val="0"/>
            <w:vAlign w:val="top"/>
          </w:tcPr>
          <w:p>
            <w:pPr>
              <w:pStyle w:val="77"/>
              <w:rPr>
                <w:rFonts w:cs="Arial"/>
                <w:lang w:eastAsia="ja-JP"/>
              </w:rPr>
            </w:pPr>
            <w:r>
              <w:rPr>
                <w:rFonts w:cs="Arial"/>
                <w:lang w:eastAsia="ja-JP"/>
              </w:rPr>
              <w:t>IE type and reference</w:t>
            </w:r>
          </w:p>
        </w:tc>
        <w:tc>
          <w:tcPr>
            <w:tcW w:w="1218" w:type="dxa"/>
            <w:noWrap w:val="0"/>
            <w:vAlign w:val="top"/>
          </w:tcPr>
          <w:p>
            <w:pPr>
              <w:pStyle w:val="77"/>
              <w:rPr>
                <w:rFonts w:cs="Arial"/>
                <w:lang w:eastAsia="ja-JP"/>
              </w:rPr>
            </w:pPr>
            <w:r>
              <w:rPr>
                <w:rFonts w:cs="Arial"/>
                <w:lang w:eastAsia="ja-JP"/>
              </w:rPr>
              <w:t>Semantics description</w:t>
            </w:r>
          </w:p>
        </w:tc>
        <w:tc>
          <w:tcPr>
            <w:tcW w:w="1288" w:type="dxa"/>
            <w:noWrap w:val="0"/>
            <w:vAlign w:val="top"/>
          </w:tcPr>
          <w:p>
            <w:pPr>
              <w:pStyle w:val="77"/>
              <w:rPr>
                <w:rFonts w:cs="Arial"/>
                <w:lang w:eastAsia="ja-JP"/>
              </w:rPr>
            </w:pPr>
            <w:r>
              <w:rPr>
                <w:rFonts w:cs="Arial"/>
                <w:lang w:eastAsia="ja-JP"/>
              </w:rPr>
              <w:t>Criticality</w:t>
            </w:r>
          </w:p>
        </w:tc>
        <w:tc>
          <w:tcPr>
            <w:tcW w:w="1246" w:type="dxa"/>
            <w:noWrap w:val="0"/>
            <w:vAlign w:val="top"/>
          </w:tcPr>
          <w:p>
            <w:pPr>
              <w:pStyle w:val="77"/>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cs="Arial"/>
                <w:lang w:eastAsia="ja-JP"/>
              </w:rPr>
              <w:t>Message Type</w:t>
            </w:r>
          </w:p>
        </w:tc>
        <w:tc>
          <w:tcPr>
            <w:tcW w:w="1148" w:type="dxa"/>
            <w:noWrap w:val="0"/>
            <w:vAlign w:val="top"/>
          </w:tcPr>
          <w:p>
            <w:pPr>
              <w:pStyle w:val="63"/>
              <w:rPr>
                <w:rFonts w:cs="Arial"/>
                <w:lang w:eastAsia="ja-JP"/>
              </w:rPr>
            </w:pPr>
            <w:r>
              <w:rPr>
                <w:rFonts w:cs="Arial"/>
                <w:lang w:eastAsia="ja-JP"/>
              </w:rPr>
              <w:t>M</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lang w:eastAsia="ja-JP"/>
              </w:rPr>
              <w:t>9.2.1.1</w:t>
            </w:r>
          </w:p>
        </w:tc>
        <w:tc>
          <w:tcPr>
            <w:tcW w:w="1218" w:type="dxa"/>
            <w:noWrap w:val="0"/>
            <w:vAlign w:val="top"/>
          </w:tcPr>
          <w:p>
            <w:pPr>
              <w:pStyle w:val="63"/>
              <w:rPr>
                <w:rFonts w:cs="Arial"/>
                <w:lang w:eastAsia="ja-JP"/>
              </w:rPr>
            </w:pP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cs="Arial"/>
                <w:lang w:eastAsia="ja-JP"/>
              </w:rPr>
              <w:t>SON Configuration Transfer</w:t>
            </w:r>
          </w:p>
        </w:tc>
        <w:tc>
          <w:tcPr>
            <w:tcW w:w="1148" w:type="dxa"/>
            <w:noWrap w:val="0"/>
            <w:vAlign w:val="top"/>
          </w:tcPr>
          <w:p>
            <w:pPr>
              <w:pStyle w:val="63"/>
              <w:rPr>
                <w:rFonts w:cs="Arial"/>
                <w:lang w:eastAsia="ja-JP"/>
              </w:rPr>
            </w:pPr>
            <w:r>
              <w:rPr>
                <w:rFonts w:cs="Arial"/>
                <w:lang w:eastAsia="ja-JP"/>
              </w:rPr>
              <w:t>O</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lang w:eastAsia="ja-JP"/>
              </w:rPr>
              <w:t>9.2.3.26</w:t>
            </w:r>
          </w:p>
        </w:tc>
        <w:tc>
          <w:tcPr>
            <w:tcW w:w="1218" w:type="dxa"/>
            <w:noWrap w:val="0"/>
            <w:vAlign w:val="top"/>
          </w:tcPr>
          <w:p>
            <w:pPr>
              <w:pStyle w:val="63"/>
              <w:rPr>
                <w:rFonts w:cs="Arial"/>
                <w:lang w:eastAsia="ja-JP"/>
              </w:rPr>
            </w:pP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cs="Arial"/>
                <w:lang w:eastAsia="ja-JP"/>
              </w:rPr>
              <w:t>EN-DC SON Configuration Transfer</w:t>
            </w:r>
          </w:p>
        </w:tc>
        <w:tc>
          <w:tcPr>
            <w:tcW w:w="1148" w:type="dxa"/>
            <w:noWrap w:val="0"/>
            <w:vAlign w:val="top"/>
          </w:tcPr>
          <w:p>
            <w:pPr>
              <w:pStyle w:val="63"/>
              <w:rPr>
                <w:rFonts w:cs="Arial"/>
                <w:lang w:eastAsia="ja-JP"/>
              </w:rPr>
            </w:pPr>
            <w:r>
              <w:rPr>
                <w:rFonts w:cs="Arial"/>
                <w:lang w:eastAsia="ja-JP"/>
              </w:rPr>
              <w:t>O</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lang w:eastAsia="ja-JP"/>
              </w:rPr>
              <w:t>9.2.3.26a</w:t>
            </w:r>
          </w:p>
        </w:tc>
        <w:tc>
          <w:tcPr>
            <w:tcW w:w="1218" w:type="dxa"/>
            <w:noWrap w:val="0"/>
            <w:vAlign w:val="top"/>
          </w:tcPr>
          <w:p>
            <w:pPr>
              <w:pStyle w:val="63"/>
              <w:rPr>
                <w:rFonts w:cs="Arial"/>
                <w:lang w:eastAsia="ja-JP"/>
              </w:rPr>
            </w:pP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eastAsia="Batang" w:cs="Arial"/>
                <w:bCs/>
                <w:highlight w:val="yellow"/>
                <w:lang w:eastAsia="ja-JP"/>
              </w:rPr>
              <w:t>Inter-system SON Configuration Transfer</w:t>
            </w:r>
          </w:p>
        </w:tc>
        <w:tc>
          <w:tcPr>
            <w:tcW w:w="1148" w:type="dxa"/>
            <w:noWrap w:val="0"/>
            <w:vAlign w:val="top"/>
          </w:tcPr>
          <w:p>
            <w:pPr>
              <w:pStyle w:val="63"/>
              <w:rPr>
                <w:rFonts w:cs="Arial"/>
                <w:lang w:eastAsia="ja-JP"/>
              </w:rPr>
            </w:pPr>
            <w:r>
              <w:rPr>
                <w:rFonts w:cs="Arial"/>
                <w:lang w:eastAsia="ja-JP"/>
              </w:rPr>
              <w:t>O</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szCs w:val="18"/>
                <w:lang w:eastAsia="ja-JP"/>
              </w:rPr>
              <w:t>OCTET STRING</w:t>
            </w:r>
          </w:p>
        </w:tc>
        <w:tc>
          <w:tcPr>
            <w:tcW w:w="1218" w:type="dxa"/>
            <w:noWrap w:val="0"/>
            <w:vAlign w:val="top"/>
          </w:tcPr>
          <w:p>
            <w:pPr>
              <w:pStyle w:val="63"/>
              <w:rPr>
                <w:rFonts w:cs="Arial"/>
                <w:lang w:eastAsia="ja-JP"/>
              </w:rPr>
            </w:pPr>
            <w:r>
              <w:rPr>
                <w:rFonts w:cs="Arial"/>
                <w:szCs w:val="18"/>
                <w:highlight w:val="yellow"/>
                <w:lang w:eastAsia="ja-JP"/>
              </w:rPr>
              <w:t xml:space="preserve">Contains the </w:t>
            </w:r>
            <w:r>
              <w:rPr>
                <w:rFonts w:cs="Arial"/>
                <w:i/>
                <w:iCs/>
                <w:szCs w:val="18"/>
                <w:highlight w:val="yellow"/>
                <w:lang w:eastAsia="ja-JP"/>
              </w:rPr>
              <w:t>Inter-system SON Configuration Transfer</w:t>
            </w:r>
            <w:r>
              <w:rPr>
                <w:rFonts w:cs="Arial"/>
                <w:szCs w:val="18"/>
                <w:highlight w:val="yellow"/>
                <w:lang w:eastAsia="ja-JP"/>
              </w:rPr>
              <w:t xml:space="preserve"> IE as defined in TS 38.413 [44].</w:t>
            </w: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bl>
    <w:p/>
    <w:p>
      <w:pPr>
        <w:pStyle w:val="5"/>
        <w:rPr>
          <w:rFonts w:cs="Times New Roman"/>
        </w:rPr>
      </w:pPr>
      <w:bookmarkStart w:id="13" w:name="_Toc29390870"/>
      <w:bookmarkStart w:id="14" w:name="_Toc36551607"/>
      <w:bookmarkStart w:id="15" w:name="_Toc51762779"/>
      <w:bookmarkStart w:id="16" w:name="_Toc45831826"/>
      <w:bookmarkStart w:id="17" w:name="_Toc20953693"/>
      <w:r>
        <w:rPr>
          <w:rFonts w:cs="Times New Roman"/>
        </w:rPr>
        <w:t>9.1.17</w:t>
      </w:r>
      <w:r>
        <w:rPr>
          <w:rFonts w:cs="Times New Roman"/>
        </w:rPr>
        <w:tab/>
      </w:r>
      <w:r>
        <w:rPr>
          <w:rFonts w:hint="eastAsia" w:cs="Times New Roman"/>
          <w:lang w:val="en-US" w:eastAsia="zh-CN"/>
        </w:rPr>
        <w:t xml:space="preserve"> </w:t>
      </w:r>
      <w:r>
        <w:rPr>
          <w:rFonts w:cs="Times New Roman"/>
        </w:rPr>
        <w:t>MME CONFIGURATION TRANSFER</w:t>
      </w:r>
      <w:bookmarkEnd w:id="13"/>
      <w:bookmarkEnd w:id="14"/>
      <w:bookmarkEnd w:id="15"/>
      <w:bookmarkEnd w:id="16"/>
      <w:bookmarkEnd w:id="17"/>
    </w:p>
    <w:p>
      <w:r>
        <w:t>This message is sent by the MME in order to transfer RAN configuration information.</w:t>
      </w:r>
    </w:p>
    <w:p>
      <w:r>
        <w:t xml:space="preserve">Direction: MME </w:t>
      </w:r>
      <w:r>
        <w:rPr/>
        <w:sym w:font="Symbol" w:char="F0AE"/>
      </w:r>
      <w:r>
        <w:t xml:space="preserve"> eNB.</w:t>
      </w:r>
    </w:p>
    <w:tbl>
      <w:tblPr>
        <w:tblStyle w:val="51"/>
        <w:tblW w:w="1038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1148"/>
        <w:gridCol w:w="1694"/>
        <w:gridCol w:w="1273"/>
        <w:gridCol w:w="1218"/>
        <w:gridCol w:w="1288"/>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77"/>
              <w:rPr>
                <w:rFonts w:cs="Arial"/>
                <w:lang w:eastAsia="ja-JP"/>
              </w:rPr>
            </w:pPr>
            <w:r>
              <w:rPr>
                <w:rFonts w:cs="Arial"/>
                <w:lang w:eastAsia="ja-JP"/>
              </w:rPr>
              <w:t>IE/Group Name</w:t>
            </w:r>
          </w:p>
        </w:tc>
        <w:tc>
          <w:tcPr>
            <w:tcW w:w="1148" w:type="dxa"/>
            <w:noWrap w:val="0"/>
            <w:vAlign w:val="top"/>
          </w:tcPr>
          <w:p>
            <w:pPr>
              <w:pStyle w:val="77"/>
              <w:rPr>
                <w:rFonts w:cs="Arial"/>
                <w:lang w:eastAsia="ja-JP"/>
              </w:rPr>
            </w:pPr>
            <w:r>
              <w:rPr>
                <w:rFonts w:cs="Arial"/>
                <w:lang w:eastAsia="ja-JP"/>
              </w:rPr>
              <w:t>Presence</w:t>
            </w:r>
          </w:p>
        </w:tc>
        <w:tc>
          <w:tcPr>
            <w:tcW w:w="1694" w:type="dxa"/>
            <w:noWrap w:val="0"/>
            <w:vAlign w:val="top"/>
          </w:tcPr>
          <w:p>
            <w:pPr>
              <w:pStyle w:val="77"/>
              <w:rPr>
                <w:rFonts w:cs="Arial"/>
                <w:lang w:eastAsia="ja-JP"/>
              </w:rPr>
            </w:pPr>
            <w:r>
              <w:rPr>
                <w:rFonts w:cs="Arial"/>
                <w:lang w:eastAsia="ja-JP"/>
              </w:rPr>
              <w:t>Range</w:t>
            </w:r>
          </w:p>
        </w:tc>
        <w:tc>
          <w:tcPr>
            <w:tcW w:w="1273" w:type="dxa"/>
            <w:noWrap w:val="0"/>
            <w:vAlign w:val="top"/>
          </w:tcPr>
          <w:p>
            <w:pPr>
              <w:pStyle w:val="77"/>
              <w:rPr>
                <w:rFonts w:cs="Arial"/>
                <w:lang w:eastAsia="ja-JP"/>
              </w:rPr>
            </w:pPr>
            <w:r>
              <w:rPr>
                <w:rFonts w:cs="Arial"/>
                <w:lang w:eastAsia="ja-JP"/>
              </w:rPr>
              <w:t>IE type and reference</w:t>
            </w:r>
          </w:p>
        </w:tc>
        <w:tc>
          <w:tcPr>
            <w:tcW w:w="1218" w:type="dxa"/>
            <w:noWrap w:val="0"/>
            <w:vAlign w:val="top"/>
          </w:tcPr>
          <w:p>
            <w:pPr>
              <w:pStyle w:val="77"/>
              <w:rPr>
                <w:rFonts w:cs="Arial"/>
                <w:lang w:eastAsia="ja-JP"/>
              </w:rPr>
            </w:pPr>
            <w:r>
              <w:rPr>
                <w:rFonts w:cs="Arial"/>
                <w:lang w:eastAsia="ja-JP"/>
              </w:rPr>
              <w:t>Semantics description</w:t>
            </w:r>
          </w:p>
        </w:tc>
        <w:tc>
          <w:tcPr>
            <w:tcW w:w="1288" w:type="dxa"/>
            <w:noWrap w:val="0"/>
            <w:vAlign w:val="top"/>
          </w:tcPr>
          <w:p>
            <w:pPr>
              <w:pStyle w:val="77"/>
              <w:rPr>
                <w:rFonts w:cs="Arial"/>
                <w:lang w:eastAsia="ja-JP"/>
              </w:rPr>
            </w:pPr>
            <w:r>
              <w:rPr>
                <w:rFonts w:cs="Arial"/>
                <w:lang w:eastAsia="ja-JP"/>
              </w:rPr>
              <w:t>Criticality</w:t>
            </w:r>
          </w:p>
        </w:tc>
        <w:tc>
          <w:tcPr>
            <w:tcW w:w="1246" w:type="dxa"/>
            <w:noWrap w:val="0"/>
            <w:vAlign w:val="top"/>
          </w:tcPr>
          <w:p>
            <w:pPr>
              <w:pStyle w:val="77"/>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cs="Arial"/>
                <w:lang w:eastAsia="ja-JP"/>
              </w:rPr>
              <w:t>Message Type</w:t>
            </w:r>
          </w:p>
        </w:tc>
        <w:tc>
          <w:tcPr>
            <w:tcW w:w="1148" w:type="dxa"/>
            <w:noWrap w:val="0"/>
            <w:vAlign w:val="top"/>
          </w:tcPr>
          <w:p>
            <w:pPr>
              <w:pStyle w:val="63"/>
              <w:rPr>
                <w:rFonts w:cs="Arial"/>
                <w:lang w:eastAsia="ja-JP"/>
              </w:rPr>
            </w:pPr>
            <w:r>
              <w:rPr>
                <w:rFonts w:cs="Arial"/>
                <w:lang w:eastAsia="ja-JP"/>
              </w:rPr>
              <w:t>M</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lang w:eastAsia="ja-JP"/>
              </w:rPr>
              <w:t>9.2.1.1</w:t>
            </w:r>
          </w:p>
        </w:tc>
        <w:tc>
          <w:tcPr>
            <w:tcW w:w="1218" w:type="dxa"/>
            <w:noWrap w:val="0"/>
            <w:vAlign w:val="top"/>
          </w:tcPr>
          <w:p>
            <w:pPr>
              <w:pStyle w:val="63"/>
              <w:rPr>
                <w:rFonts w:cs="Arial"/>
                <w:lang w:eastAsia="ja-JP"/>
              </w:rPr>
            </w:pP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noWrap w:val="0"/>
            <w:vAlign w:val="top"/>
          </w:tcPr>
          <w:p>
            <w:pPr>
              <w:pStyle w:val="63"/>
              <w:rPr>
                <w:rFonts w:cs="Arial"/>
                <w:lang w:eastAsia="ja-JP"/>
              </w:rPr>
            </w:pPr>
            <w:r>
              <w:rPr>
                <w:rFonts w:cs="Arial"/>
                <w:lang w:eastAsia="ja-JP"/>
              </w:rPr>
              <w:t>SON Configuration Transfer</w:t>
            </w:r>
          </w:p>
        </w:tc>
        <w:tc>
          <w:tcPr>
            <w:tcW w:w="1148" w:type="dxa"/>
            <w:noWrap w:val="0"/>
            <w:vAlign w:val="top"/>
          </w:tcPr>
          <w:p>
            <w:pPr>
              <w:pStyle w:val="63"/>
              <w:rPr>
                <w:rFonts w:cs="Arial"/>
                <w:lang w:eastAsia="ja-JP"/>
              </w:rPr>
            </w:pPr>
            <w:r>
              <w:rPr>
                <w:rFonts w:cs="Arial"/>
                <w:lang w:eastAsia="ja-JP"/>
              </w:rPr>
              <w:t>O</w:t>
            </w:r>
          </w:p>
        </w:tc>
        <w:tc>
          <w:tcPr>
            <w:tcW w:w="1694" w:type="dxa"/>
            <w:noWrap w:val="0"/>
            <w:vAlign w:val="top"/>
          </w:tcPr>
          <w:p>
            <w:pPr>
              <w:pStyle w:val="63"/>
              <w:rPr>
                <w:rFonts w:cs="Arial"/>
                <w:lang w:eastAsia="ja-JP"/>
              </w:rPr>
            </w:pPr>
          </w:p>
        </w:tc>
        <w:tc>
          <w:tcPr>
            <w:tcW w:w="1273" w:type="dxa"/>
            <w:noWrap w:val="0"/>
            <w:vAlign w:val="top"/>
          </w:tcPr>
          <w:p>
            <w:pPr>
              <w:pStyle w:val="63"/>
              <w:rPr>
                <w:rFonts w:cs="Arial"/>
                <w:lang w:eastAsia="ja-JP"/>
              </w:rPr>
            </w:pPr>
            <w:r>
              <w:rPr>
                <w:rFonts w:cs="Arial"/>
                <w:lang w:eastAsia="ja-JP"/>
              </w:rPr>
              <w:t>9.2.3.26</w:t>
            </w:r>
          </w:p>
        </w:tc>
        <w:tc>
          <w:tcPr>
            <w:tcW w:w="1218" w:type="dxa"/>
            <w:noWrap w:val="0"/>
            <w:vAlign w:val="top"/>
          </w:tcPr>
          <w:p>
            <w:pPr>
              <w:pStyle w:val="63"/>
              <w:rPr>
                <w:rFonts w:cs="Arial"/>
                <w:lang w:eastAsia="ja-JP"/>
              </w:rPr>
            </w:pPr>
          </w:p>
        </w:tc>
        <w:tc>
          <w:tcPr>
            <w:tcW w:w="1288" w:type="dxa"/>
            <w:noWrap w:val="0"/>
            <w:vAlign w:val="top"/>
          </w:tcPr>
          <w:p>
            <w:pPr>
              <w:pStyle w:val="63"/>
              <w:jc w:val="center"/>
              <w:rPr>
                <w:rFonts w:cs="Arial"/>
                <w:lang w:eastAsia="ja-JP"/>
              </w:rPr>
            </w:pPr>
            <w:r>
              <w:rPr>
                <w:rFonts w:cs="Arial"/>
                <w:lang w:eastAsia="ja-JP"/>
              </w:rPr>
              <w:t>YES</w:t>
            </w:r>
          </w:p>
        </w:tc>
        <w:tc>
          <w:tcPr>
            <w:tcW w:w="1246"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lang w:eastAsia="ja-JP"/>
              </w:rPr>
              <w:t>EN-DC SON Configuration Transfer</w:t>
            </w:r>
          </w:p>
        </w:tc>
        <w:tc>
          <w:tcPr>
            <w:tcW w:w="1148"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lang w:eastAsia="ja-JP"/>
              </w:rPr>
              <w:t>O</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lang w:eastAsia="ja-JP"/>
              </w:rPr>
              <w:t>9.2.3.26a</w:t>
            </w:r>
          </w:p>
        </w:tc>
        <w:tc>
          <w:tcPr>
            <w:tcW w:w="1218"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cs="Arial"/>
                <w:lang w:eastAsia="ja-JP"/>
              </w:rPr>
            </w:pPr>
            <w:r>
              <w:rPr>
                <w:rFonts w:cs="Arial"/>
                <w:lang w:eastAsia="ja-JP"/>
              </w:rPr>
              <w:t>YES</w:t>
            </w:r>
          </w:p>
        </w:tc>
        <w:tc>
          <w:tcPr>
            <w:tcW w:w="1246"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eastAsia="Batang" w:cs="Arial"/>
                <w:bCs/>
                <w:lang w:eastAsia="ja-JP"/>
              </w:rPr>
              <w:t>I</w:t>
            </w:r>
            <w:r>
              <w:rPr>
                <w:rFonts w:eastAsia="Batang" w:cs="Arial"/>
                <w:bCs/>
                <w:highlight w:val="yellow"/>
                <w:lang w:eastAsia="ja-JP"/>
              </w:rPr>
              <w:t>nter-system SON Configuration Transfer</w:t>
            </w:r>
          </w:p>
        </w:tc>
        <w:tc>
          <w:tcPr>
            <w:tcW w:w="1148"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lang w:eastAsia="ja-JP"/>
              </w:rPr>
              <w:t>O</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szCs w:val="18"/>
                <w:lang w:eastAsia="ja-JP"/>
              </w:rPr>
              <w:t>OCTET STRING</w:t>
            </w:r>
          </w:p>
        </w:tc>
        <w:tc>
          <w:tcPr>
            <w:tcW w:w="1218"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ja-JP"/>
              </w:rPr>
            </w:pPr>
            <w:r>
              <w:rPr>
                <w:rFonts w:cs="Arial"/>
                <w:szCs w:val="18"/>
                <w:highlight w:val="yellow"/>
                <w:lang w:eastAsia="ja-JP"/>
              </w:rPr>
              <w:t xml:space="preserve">Contains the </w:t>
            </w:r>
            <w:r>
              <w:rPr>
                <w:rFonts w:cs="Arial"/>
                <w:i/>
                <w:iCs/>
                <w:szCs w:val="18"/>
                <w:highlight w:val="yellow"/>
                <w:lang w:eastAsia="ja-JP"/>
              </w:rPr>
              <w:t>Inter-system SON Configuration Transfer</w:t>
            </w:r>
            <w:r>
              <w:rPr>
                <w:rFonts w:cs="Arial"/>
                <w:szCs w:val="18"/>
                <w:highlight w:val="yellow"/>
                <w:lang w:eastAsia="ja-JP"/>
              </w:rPr>
              <w:t xml:space="preserve"> IE as defined in TS 38.413 [44].</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cs="Arial"/>
                <w:lang w:eastAsia="ja-JP"/>
              </w:rPr>
            </w:pPr>
            <w:r>
              <w:rPr>
                <w:rFonts w:cs="Arial"/>
                <w:lang w:eastAsia="ja-JP"/>
              </w:rPr>
              <w:t>YES</w:t>
            </w:r>
          </w:p>
        </w:tc>
        <w:tc>
          <w:tcPr>
            <w:tcW w:w="1246"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cs="Arial"/>
                <w:lang w:eastAsia="ja-JP"/>
              </w:rPr>
            </w:pPr>
            <w:r>
              <w:rPr>
                <w:rFonts w:cs="Arial"/>
                <w:lang w:eastAsia="ja-JP"/>
              </w:rPr>
              <w:t>ignore</w:t>
            </w:r>
          </w:p>
        </w:tc>
      </w:tr>
    </w:tbl>
    <w:p>
      <w:pPr>
        <w:rPr>
          <w:rFonts w:hint="eastAsia"/>
          <w:sz w:val="20"/>
          <w:szCs w:val="20"/>
          <w:lang w:val="en-US" w:eastAsia="zh-CN"/>
        </w:rPr>
      </w:pPr>
    </w:p>
    <w:p>
      <w:pPr>
        <w:rPr>
          <w:rFonts w:hint="eastAsia"/>
          <w:sz w:val="20"/>
          <w:szCs w:val="20"/>
          <w:lang w:val="en-US" w:eastAsia="zh-CN"/>
        </w:rPr>
      </w:pPr>
      <w:r>
        <w:rPr>
          <w:rFonts w:hint="eastAsia"/>
          <w:sz w:val="20"/>
          <w:szCs w:val="20"/>
          <w:lang w:val="en-US" w:eastAsia="zh-CN"/>
        </w:rPr>
        <w:t>-----------------------------------------------------------TS 36.413-------------------------------------------------------------------------</w:t>
      </w:r>
    </w:p>
    <w:p>
      <w:pPr>
        <w:rPr>
          <w:rFonts w:hint="default"/>
          <w:sz w:val="20"/>
          <w:szCs w:val="20"/>
          <w:lang w:val="en-US" w:eastAsia="zh-CN"/>
        </w:rPr>
      </w:pPr>
      <w:r>
        <w:rPr>
          <w:rFonts w:hint="eastAsia"/>
          <w:sz w:val="20"/>
          <w:szCs w:val="20"/>
          <w:lang w:val="en-US" w:eastAsia="zh-CN"/>
        </w:rPr>
        <w:t>-----------------------------------------------------------TS 38.413-------------------------------------------------------------------------</w:t>
      </w:r>
    </w:p>
    <w:p>
      <w:pPr>
        <w:rPr>
          <w:rFonts w:hint="eastAsia"/>
          <w:sz w:val="20"/>
          <w:szCs w:val="20"/>
          <w:lang w:val="en-US" w:eastAsia="zh-CN"/>
        </w:rPr>
      </w:pPr>
    </w:p>
    <w:p>
      <w:pPr>
        <w:pStyle w:val="5"/>
      </w:pPr>
      <w:bookmarkStart w:id="18" w:name="_Hlk44336508"/>
      <w:bookmarkStart w:id="19" w:name="_Toc13759721"/>
      <w:bookmarkStart w:id="20" w:name="_Toc45652509"/>
      <w:bookmarkStart w:id="21" w:name="_Toc45798639"/>
      <w:bookmarkStart w:id="22" w:name="_Toc45720761"/>
      <w:bookmarkStart w:id="23" w:name="_Toc45658941"/>
      <w:bookmarkStart w:id="24" w:name="_Toc51746233"/>
      <w:bookmarkStart w:id="25" w:name="_Toc45898028"/>
      <w:r>
        <w:t>9.3.3</w:t>
      </w:r>
      <w:bookmarkEnd w:id="18"/>
      <w:r>
        <w:t>.33</w:t>
      </w:r>
      <w:r>
        <w:tab/>
      </w:r>
      <w:bookmarkEnd w:id="19"/>
      <w:r>
        <w:rPr>
          <w:rFonts w:eastAsia="Batang" w:cs="Arial"/>
          <w:bCs/>
          <w:lang w:eastAsia="ja-JP"/>
        </w:rPr>
        <w:t>Inter-system SON Configuration Transfer</w:t>
      </w:r>
      <w:bookmarkEnd w:id="20"/>
      <w:bookmarkEnd w:id="21"/>
      <w:bookmarkEnd w:id="22"/>
      <w:bookmarkEnd w:id="23"/>
      <w:bookmarkEnd w:id="24"/>
      <w:bookmarkEnd w:id="25"/>
    </w:p>
    <w:p>
      <w:r>
        <w:t>This IE contains the configuration information, used by e.g., SON functionality, transmitted between an NG-RAN node and an eNB and additionally includes the node identifier of the destination of this configuration information and the node identifier of the source of this information.</w:t>
      </w:r>
    </w:p>
    <w:tbl>
      <w:tblPr>
        <w:tblStyle w:val="51"/>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7"/>
              <w:rPr>
                <w:rFonts w:cs="Arial"/>
                <w:lang w:eastAsia="ja-JP"/>
              </w:rPr>
            </w:pPr>
            <w:r>
              <w:rPr>
                <w:rFonts w:cs="Arial"/>
                <w:lang w:eastAsia="ja-JP"/>
              </w:rPr>
              <w:t>IE/Group Name</w:t>
            </w:r>
          </w:p>
        </w:tc>
        <w:tc>
          <w:tcPr>
            <w:tcW w:w="1020" w:type="dxa"/>
            <w:noWrap w:val="0"/>
            <w:vAlign w:val="top"/>
          </w:tcPr>
          <w:p>
            <w:pPr>
              <w:pStyle w:val="77"/>
              <w:rPr>
                <w:rFonts w:cs="Arial"/>
                <w:lang w:eastAsia="ja-JP"/>
              </w:rPr>
            </w:pPr>
            <w:r>
              <w:rPr>
                <w:rFonts w:cs="Arial"/>
                <w:lang w:eastAsia="ja-JP"/>
              </w:rPr>
              <w:t>Presence</w:t>
            </w:r>
          </w:p>
        </w:tc>
        <w:tc>
          <w:tcPr>
            <w:tcW w:w="1474" w:type="dxa"/>
            <w:noWrap w:val="0"/>
            <w:vAlign w:val="top"/>
          </w:tcPr>
          <w:p>
            <w:pPr>
              <w:pStyle w:val="77"/>
              <w:rPr>
                <w:rFonts w:cs="Arial"/>
                <w:lang w:eastAsia="ja-JP"/>
              </w:rPr>
            </w:pPr>
            <w:r>
              <w:rPr>
                <w:rFonts w:cs="Arial"/>
                <w:lang w:eastAsia="ja-JP"/>
              </w:rPr>
              <w:t>Range</w:t>
            </w:r>
          </w:p>
        </w:tc>
        <w:tc>
          <w:tcPr>
            <w:tcW w:w="1871" w:type="dxa"/>
            <w:noWrap w:val="0"/>
            <w:vAlign w:val="top"/>
          </w:tcPr>
          <w:p>
            <w:pPr>
              <w:pStyle w:val="77"/>
              <w:rPr>
                <w:rFonts w:cs="Arial"/>
                <w:lang w:eastAsia="ja-JP"/>
              </w:rPr>
            </w:pPr>
            <w:r>
              <w:rPr>
                <w:rFonts w:cs="Arial"/>
                <w:lang w:eastAsia="ja-JP"/>
              </w:rPr>
              <w:t>IE type and reference</w:t>
            </w:r>
          </w:p>
        </w:tc>
        <w:tc>
          <w:tcPr>
            <w:tcW w:w="2891" w:type="dxa"/>
            <w:noWrap w:val="0"/>
            <w:vAlign w:val="top"/>
          </w:tcPr>
          <w:p>
            <w:pPr>
              <w:pStyle w:val="77"/>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rPr>
                <w:rFonts w:cs="Arial"/>
                <w:lang w:eastAsia="ja-JP"/>
              </w:rPr>
            </w:pPr>
            <w:r>
              <w:rPr>
                <w:rFonts w:cs="Arial"/>
                <w:lang w:eastAsia="ja-JP"/>
              </w:rPr>
              <w:t xml:space="preserve">CHOICE </w:t>
            </w:r>
            <w:r>
              <w:rPr>
                <w:rFonts w:cs="Arial"/>
                <w:i/>
                <w:lang w:eastAsia="ja-JP"/>
              </w:rPr>
              <w:t>Transfer Type</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74"/>
              <w:rPr>
                <w:rFonts w:cs="Arial"/>
                <w:lang w:eastAsia="ja-JP"/>
              </w:rPr>
            </w:pPr>
            <w:r>
              <w:rPr>
                <w:rFonts w:cs="Arial"/>
                <w:lang w:eastAsia="ja-JP"/>
              </w:rPr>
              <w:t>&gt;</w:t>
            </w:r>
            <w:r>
              <w:rPr>
                <w:rFonts w:cs="Arial"/>
                <w:i/>
                <w:lang w:eastAsia="ja-JP"/>
              </w:rPr>
              <w:t>from E-UTRAN to NG-RAN</w:t>
            </w:r>
          </w:p>
        </w:tc>
        <w:tc>
          <w:tcPr>
            <w:tcW w:w="1020" w:type="dxa"/>
            <w:noWrap w:val="0"/>
            <w:vAlign w:val="top"/>
          </w:tcPr>
          <w:p>
            <w:pPr>
              <w:pStyle w:val="63"/>
              <w:rPr>
                <w:rFonts w:cs="Arial"/>
                <w:lang w:eastAsia="ja-JP"/>
              </w:rPr>
            </w:pP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&gt;&gt;Source eNB-ID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eNB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9.3.1.165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EPS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EPS TAI</w:t>
            </w:r>
          </w:p>
          <w:p>
            <w:pPr>
              <w:pStyle w:val="63"/>
              <w:rPr>
                <w:rFonts w:cs="Arial"/>
                <w:lang w:eastAsia="ja-JP"/>
              </w:rPr>
            </w:pPr>
            <w:r>
              <w:rPr>
                <w:rFonts w:cs="Arial"/>
                <w:lang w:eastAsia="ja-JP"/>
              </w:rPr>
              <w:t>9.3.3.17</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&gt;&gt;Target NG-RAN node 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RAN Node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t>9.3.1.5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TAI</w:t>
            </w:r>
          </w:p>
          <w:p>
            <w:pPr>
              <w:pStyle w:val="63"/>
              <w:rPr>
                <w:rFonts w:cs="Arial"/>
                <w:lang w:eastAsia="ja-JP"/>
              </w:rPr>
            </w:pPr>
            <w:r>
              <w:rPr>
                <w:rFonts w:cs="Arial"/>
                <w:lang w:eastAsia="ja-JP"/>
              </w:rPr>
              <w:t>9.3.3.11</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74"/>
              <w:rPr>
                <w:rFonts w:cs="Arial"/>
                <w:lang w:eastAsia="ja-JP"/>
              </w:rPr>
            </w:pPr>
            <w:r>
              <w:rPr>
                <w:rFonts w:cs="Arial"/>
                <w:lang w:eastAsia="ja-JP"/>
              </w:rPr>
              <w:t>&gt;</w:t>
            </w:r>
            <w:r>
              <w:rPr>
                <w:rFonts w:cs="Arial"/>
                <w:i/>
                <w:lang w:eastAsia="ja-JP"/>
              </w:rPr>
              <w:t>from NG-RAN to E-UTRAN</w:t>
            </w:r>
          </w:p>
        </w:tc>
        <w:tc>
          <w:tcPr>
            <w:tcW w:w="1020" w:type="dxa"/>
            <w:noWrap w:val="0"/>
            <w:vAlign w:val="top"/>
          </w:tcPr>
          <w:p>
            <w:pPr>
              <w:pStyle w:val="63"/>
              <w:rPr>
                <w:rFonts w:cs="Arial"/>
                <w:lang w:eastAsia="ja-JP"/>
              </w:rPr>
            </w:pP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&gt;&gt;Source NG-RAN Node 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RAN Node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t>9.3.1.5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TAI</w:t>
            </w:r>
          </w:p>
          <w:p>
            <w:pPr>
              <w:pStyle w:val="63"/>
              <w:rPr>
                <w:rFonts w:cs="Arial"/>
                <w:lang w:eastAsia="ja-JP"/>
              </w:rPr>
            </w:pPr>
            <w:r>
              <w:rPr>
                <w:rFonts w:cs="Arial"/>
                <w:lang w:eastAsia="ja-JP"/>
              </w:rPr>
              <w:t>9.3.3.11</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&gt;&gt;Target eNB-ID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eNB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9.3.1.165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EPS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EPS TAI</w:t>
            </w:r>
          </w:p>
          <w:p>
            <w:pPr>
              <w:pStyle w:val="63"/>
              <w:rPr>
                <w:rFonts w:cs="Arial"/>
                <w:lang w:eastAsia="ja-JP"/>
              </w:rPr>
            </w:pPr>
            <w:r>
              <w:rPr>
                <w:rFonts w:cs="Arial"/>
                <w:lang w:eastAsia="ja-JP"/>
              </w:rPr>
              <w:t>9.3.3.17</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rPr>
                <w:rFonts w:cs="Arial"/>
                <w:lang w:eastAsia="ja-JP"/>
              </w:rPr>
            </w:pPr>
            <w:r>
              <w:rPr>
                <w:highlight w:val="yellow"/>
              </w:rPr>
              <w:t>Inter-system SON Information</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9.3.3.34</w:t>
            </w:r>
          </w:p>
        </w:tc>
        <w:tc>
          <w:tcPr>
            <w:tcW w:w="2891" w:type="dxa"/>
            <w:noWrap w:val="0"/>
            <w:vAlign w:val="top"/>
          </w:tcPr>
          <w:p>
            <w:pPr>
              <w:pStyle w:val="63"/>
              <w:rPr>
                <w:rFonts w:cs="Arial"/>
                <w:lang w:eastAsia="ja-JP"/>
              </w:rPr>
            </w:pPr>
          </w:p>
        </w:tc>
      </w:tr>
    </w:tbl>
    <w:p>
      <w:pPr>
        <w:rPr>
          <w:rFonts w:hint="default"/>
          <w:sz w:val="20"/>
          <w:szCs w:val="20"/>
          <w:lang w:val="en-US" w:eastAsia="zh-CN"/>
        </w:rPr>
      </w:pPr>
      <w:r>
        <w:rPr>
          <w:rFonts w:hint="eastAsia"/>
          <w:sz w:val="20"/>
          <w:szCs w:val="20"/>
          <w:lang w:val="en-US" w:eastAsia="zh-CN"/>
        </w:rPr>
        <w:t>-----------------------------------------------------------TS 38.413-------------------------------------------------------------------------</w:t>
      </w:r>
    </w:p>
    <w:p>
      <w:pPr>
        <w:rPr>
          <w:rFonts w:hint="eastAsia"/>
          <w:b/>
          <w:bCs w:val="0"/>
          <w:lang w:val="en-US" w:eastAsia="zh-CN"/>
        </w:rPr>
      </w:pPr>
      <w:r>
        <w:rPr>
          <w:rFonts w:hint="eastAsia"/>
          <w:b/>
          <w:bCs/>
          <w:u w:val="none"/>
          <w:lang w:val="en-US" w:eastAsia="zh-CN"/>
        </w:rPr>
        <w:t xml:space="preserve">Proposal 1: </w:t>
      </w:r>
      <w:r>
        <w:rPr>
          <w:rFonts w:hint="eastAsia" w:eastAsia="宋体"/>
          <w:b/>
          <w:bCs w:val="0"/>
          <w:lang w:val="en-US" w:eastAsia="zh-CN"/>
        </w:rPr>
        <w:t xml:space="preserve"> </w:t>
      </w:r>
      <w:r>
        <w:rPr>
          <w:rFonts w:hint="eastAsia"/>
          <w:b/>
          <w:bCs w:val="0"/>
          <w:lang w:val="en-US" w:eastAsia="zh-CN"/>
        </w:rPr>
        <w:t>As the Inter-system SON Configuration Transfer IE in TS 36.413 is aligned with TS38.413, the stage 3 TP of TS 36.413 in not needed for Inter-system Load Balancing.</w:t>
      </w:r>
    </w:p>
    <w:p>
      <w:pPr>
        <w:rPr>
          <w:rFonts w:hint="eastAsia"/>
          <w:b w:val="0"/>
          <w:bCs/>
          <w:lang w:val="en-US" w:eastAsia="zh-CN"/>
        </w:rPr>
      </w:pPr>
      <w:r>
        <w:rPr>
          <w:rFonts w:hint="eastAsia"/>
          <w:lang w:val="en-US" w:eastAsia="zh-CN"/>
        </w:rPr>
        <w:t xml:space="preserve">Considering the other load metrics for exchange between LTE and NR, after checking the IE tables of Resource Status Update message over X2 and Xn, it can be found that the TNL related load and Radio Resource Status have similar definitions in LTE and NR. However, </w:t>
      </w:r>
      <w:r>
        <w:rPr>
          <w:rFonts w:hint="eastAsia"/>
          <w:b w:val="0"/>
          <w:bCs/>
          <w:lang w:val="en-US" w:eastAsia="zh-CN"/>
        </w:rPr>
        <w:t xml:space="preserve">the value format and granularity of these IEs are not same. For TNL related load, the corresponding IE in LTE, i.e. S1 TNL Load Indicator, is to indicate the status of S1 TNL load by using low load, medium load, high load and overloaded. While the corresponding IE in NR, i.e. TNL Capacity Indicator, is to indicate the offered and available capacity of Transport Network by using the integer value. In addition, for Radio Resource Status, the corresponding IE in LTE is only in cell level, while the corresponding IE in NR could be in both cell level and beam level. Therefore, it is not possible for the eNB and gNB to exchange the load metrics directly. </w:t>
      </w:r>
    </w:p>
    <w:p>
      <w:pPr>
        <w:rPr>
          <w:rFonts w:hint="eastAsia"/>
          <w:b w:val="0"/>
          <w:bCs/>
          <w:lang w:val="en-US" w:eastAsia="zh-CN"/>
        </w:rPr>
      </w:pPr>
      <w:r>
        <w:rPr>
          <w:rFonts w:hint="eastAsia"/>
          <w:b w:val="0"/>
          <w:bCs/>
          <w:lang w:val="en-US" w:eastAsia="zh-CN"/>
        </w:rPr>
        <w:t xml:space="preserve">However, as the objective of the inter-system load balancing is to make the source gNB/eNB be aware of the load status of the target eNB/gNB. For the reporting direction from NR to LTE, the load metrics in NR, the Number of active UEs, RRC Connections, TNL Capacity Indicator and even PRB usage, could be considered as more straightaway for the eNB to obtain the load status of target gNB. </w:t>
      </w:r>
    </w:p>
    <w:p>
      <w:pPr>
        <w:rPr>
          <w:rFonts w:hint="eastAsia"/>
          <w:b w:val="0"/>
          <w:bCs/>
          <w:lang w:val="en-US" w:eastAsia="zh-CN"/>
        </w:rPr>
      </w:pPr>
      <w:r>
        <w:rPr>
          <w:rFonts w:hint="eastAsia"/>
          <w:lang w:val="en-US" w:eastAsia="zh-CN"/>
        </w:rPr>
        <w:t>For example, considering one scenario that one eNB (SA) has two potential target gNBs (SA) for offloading, if the Number of active UEs can be transmitted from NG-RAN to E-UTRAN by inter-system load balancing, the eNB can have a better view to select the target gNB for offloading, i,e, the gNB with less number of active UEs.</w:t>
      </w:r>
    </w:p>
    <w:p>
      <w:pPr>
        <w:rPr>
          <w:rFonts w:hint="default"/>
          <w:b w:val="0"/>
          <w:bCs/>
          <w:lang w:val="en-US" w:eastAsia="zh-CN"/>
        </w:rPr>
      </w:pPr>
      <w:r>
        <w:rPr>
          <w:rFonts w:hint="eastAsia"/>
          <w:b w:val="0"/>
          <w:bCs/>
          <w:lang w:val="en-US" w:eastAsia="zh-CN"/>
        </w:rPr>
        <w:t>Similarly, for the reporting direction form LTE to NR, in addition to the Composite Available Capacity Group, the other metrics of LTE could be exchanged from eNB to gNB, such as the S1 TNL load and PRB usage.</w:t>
      </w:r>
    </w:p>
    <w:p>
      <w:pPr>
        <w:rPr>
          <w:rFonts w:hint="default"/>
          <w:b/>
          <w:bCs w:val="0"/>
          <w:lang w:val="en-US" w:eastAsia="zh-CN"/>
        </w:rPr>
      </w:pPr>
      <w:r>
        <w:rPr>
          <w:rFonts w:hint="eastAsia"/>
          <w:b/>
          <w:bCs/>
          <w:u w:val="none"/>
          <w:lang w:val="en-US" w:eastAsia="zh-CN"/>
        </w:rPr>
        <w:t xml:space="preserve">Proposal 2: </w:t>
      </w:r>
      <w:r>
        <w:rPr>
          <w:rFonts w:hint="eastAsia"/>
          <w:b/>
          <w:bCs w:val="0"/>
          <w:lang w:val="en-US" w:eastAsia="zh-CN"/>
        </w:rPr>
        <w:t>The Number of active UEs, RRC Connections, TNL Capacity Indicator and PRB Utilization could be considered to transmit from gNB to eNB, while the S1 TNL Load and PRB Utilization could be considered to transmit from eNB to gNB.</w:t>
      </w:r>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 xml:space="preserve">Proposal 1: </w:t>
      </w:r>
      <w:r>
        <w:rPr>
          <w:rFonts w:hint="eastAsia" w:eastAsia="宋体"/>
          <w:b/>
          <w:bCs w:val="0"/>
          <w:lang w:val="en-US" w:eastAsia="zh-CN"/>
        </w:rPr>
        <w:t xml:space="preserve"> </w:t>
      </w:r>
      <w:r>
        <w:rPr>
          <w:rFonts w:hint="eastAsia"/>
          <w:b/>
          <w:bCs w:val="0"/>
          <w:lang w:val="en-US" w:eastAsia="zh-CN"/>
        </w:rPr>
        <w:t>As the Inter-system SON Configuration Transfer IE in TS 36.413 is aligned with TS38.413, the stage 3 TP of TS 36.413 in not needed for Inter-system Load Balancing.</w:t>
      </w:r>
    </w:p>
    <w:p>
      <w:pPr>
        <w:rPr>
          <w:rFonts w:hint="default"/>
          <w:b/>
          <w:bCs w:val="0"/>
          <w:lang w:val="en-US" w:eastAsia="zh-CN"/>
        </w:rPr>
      </w:pPr>
      <w:r>
        <w:rPr>
          <w:rFonts w:hint="eastAsia"/>
          <w:b/>
          <w:bCs/>
          <w:u w:val="none"/>
          <w:lang w:val="en-US" w:eastAsia="zh-CN"/>
        </w:rPr>
        <w:t xml:space="preserve">Proposal 2: </w:t>
      </w:r>
      <w:r>
        <w:rPr>
          <w:rFonts w:hint="eastAsia"/>
          <w:b/>
          <w:bCs w:val="0"/>
          <w:lang w:val="en-US" w:eastAsia="zh-CN"/>
        </w:rPr>
        <w:t>The Number of active UEs, RRC Connections, TNL Capacity Indicator and PRB Utilization could be considered to transmit from gNB to eNB, while the Hardware Load, S1 TNL Load and PRB Utilization could be considered to transmit from eNB to gNB.</w:t>
      </w:r>
    </w:p>
    <w:p>
      <w:pPr>
        <w:rPr>
          <w:rFonts w:hint="default"/>
          <w:b/>
          <w:bCs/>
          <w:u w:val="none"/>
          <w:lang w:val="en-US" w:eastAsia="zh-CN"/>
        </w:rPr>
      </w:pPr>
      <w:r>
        <w:rPr>
          <w:rFonts w:hint="eastAsia"/>
          <w:b/>
          <w:bCs/>
          <w:u w:val="none"/>
          <w:lang w:val="en-US" w:eastAsia="zh-CN"/>
        </w:rPr>
        <w:t>The corresponding TPs are given in [2] and [3] respectively.</w:t>
      </w:r>
    </w:p>
    <w:p>
      <w:pPr>
        <w:pStyle w:val="2"/>
        <w:rPr>
          <w:lang w:val="en-US"/>
        </w:rPr>
      </w:pPr>
      <w:r>
        <w:rPr>
          <w:rFonts w:hint="eastAsia"/>
          <w:lang w:val="en-US" w:eastAsia="zh-CN"/>
        </w:rPr>
        <w:t xml:space="preserve"> </w:t>
      </w:r>
      <w:r>
        <w:rPr>
          <w:lang w:val="en-US"/>
        </w:rPr>
        <w:t>References</w:t>
      </w:r>
      <w:bookmarkStart w:id="27" w:name="_GoBack"/>
      <w:bookmarkEnd w:id="27"/>
    </w:p>
    <w:p>
      <w:pPr>
        <w:numPr>
          <w:ilvl w:val="0"/>
          <w:numId w:val="11"/>
        </w:numPr>
        <w:ind w:left="0" w:leftChars="0" w:firstLine="0" w:firstLineChars="0"/>
        <w:rPr>
          <w:rFonts w:hint="eastAsia" w:ascii="Times New Roman" w:hAnsi="Times New Roman" w:cs="Times New Roman"/>
          <w:lang w:val="en-US" w:eastAsia="zh-CN"/>
        </w:rPr>
      </w:pPr>
      <w:bookmarkStart w:id="26" w:name="OLE_LINK1"/>
      <w:r>
        <w:rPr>
          <w:rFonts w:hint="eastAsia"/>
          <w:lang w:val="en-US" w:eastAsia="zh-CN"/>
        </w:rPr>
        <w:t xml:space="preserve">R3-207241 </w:t>
      </w:r>
      <w:r>
        <w:rPr>
          <w:rFonts w:hint="eastAsia" w:ascii="Times New Roman" w:hAnsi="Times New Roman" w:cs="Times New Roman"/>
          <w:lang w:val="en-US" w:eastAsia="zh-CN"/>
        </w:rPr>
        <w:t>BLCR to 38.413_Addition of SON features enhancement  Ericsson</w:t>
      </w:r>
    </w:p>
    <w:bookmarkEnd w:id="26"/>
    <w:p>
      <w:pPr>
        <w:numPr>
          <w:ilvl w:val="0"/>
          <w:numId w:val="11"/>
        </w:numPr>
        <w:ind w:left="0" w:leftChars="0" w:firstLine="0" w:firstLineChars="0"/>
        <w:rPr>
          <w:rFonts w:hint="eastAsia"/>
          <w:iCs/>
          <w:lang w:val="en-US" w:eastAsia="zh-CN"/>
        </w:rPr>
      </w:pPr>
      <w:r>
        <w:rPr>
          <w:rFonts w:hint="eastAsia"/>
          <w:lang w:val="en-US" w:eastAsia="zh-CN"/>
        </w:rPr>
        <w:t>R3-210803 TP for BL CR 38.300 on Inter-system Load Balancing  ZTE, China Telecom, China Unicom</w:t>
      </w:r>
    </w:p>
    <w:p>
      <w:pPr>
        <w:numPr>
          <w:ilvl w:val="0"/>
          <w:numId w:val="11"/>
        </w:numPr>
        <w:ind w:left="0" w:leftChars="0" w:firstLine="0" w:firstLineChars="0"/>
        <w:rPr>
          <w:rFonts w:hint="eastAsia"/>
          <w:iCs/>
          <w:lang w:val="en-US" w:eastAsia="zh-CN"/>
        </w:rPr>
      </w:pPr>
      <w:r>
        <w:rPr>
          <w:rFonts w:hint="eastAsia"/>
          <w:lang w:val="en-US" w:eastAsia="zh-CN"/>
        </w:rPr>
        <w:t>R3-210804 TP for BL CR 38.413 on Inter-system Load Balancing  ZTE, China Telecom, China Unicom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51789"/>
    <w:rsid w:val="08C64728"/>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6F433C"/>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B370F1"/>
    <w:rsid w:val="17C421A8"/>
    <w:rsid w:val="17C9005A"/>
    <w:rsid w:val="18092532"/>
    <w:rsid w:val="18737782"/>
    <w:rsid w:val="18B34793"/>
    <w:rsid w:val="18D2576B"/>
    <w:rsid w:val="19330C86"/>
    <w:rsid w:val="19A868A4"/>
    <w:rsid w:val="19CD3CB3"/>
    <w:rsid w:val="19D95F60"/>
    <w:rsid w:val="19F36379"/>
    <w:rsid w:val="1A12142F"/>
    <w:rsid w:val="1A9E2F24"/>
    <w:rsid w:val="1AB030FC"/>
    <w:rsid w:val="1ABD33E6"/>
    <w:rsid w:val="1ACD302C"/>
    <w:rsid w:val="1AED2E54"/>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634C8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364EC"/>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C44BF4"/>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79655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A0353A"/>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2021-01-15T06:06:57Z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